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15" w:rsidRPr="00685BED" w:rsidRDefault="005312FD" w:rsidP="00685B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 w:cs="Arial Unicode MS"/>
          <w:b/>
          <w:bCs/>
          <w:noProof/>
          <w:color w:val="000000"/>
          <w:sz w:val="16"/>
          <w:szCs w:val="16"/>
          <w:u w:color="000000"/>
          <w:bdr w:val="nil"/>
          <w:lang w:val="es-AR" w:eastAsia="es-AR"/>
        </w:rPr>
        <w:drawing>
          <wp:inline distT="0" distB="0" distL="0" distR="0" wp14:anchorId="29F812A9">
            <wp:extent cx="969645" cy="951230"/>
            <wp:effectExtent l="0" t="0" r="190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DEE" w:rsidRDefault="00B01DEE" w:rsidP="00B01DE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:rsidR="00EE1315" w:rsidRPr="00B01DEE" w:rsidRDefault="00B01DEE" w:rsidP="006374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    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Provincia de Buenos Aires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Dirección </w:t>
      </w:r>
      <w:r w:rsidR="006374E7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General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de Cultura y Educación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Pr="00B01DEE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 </w:t>
      </w:r>
      <w:r w:rsidR="00EE1315" w:rsidRPr="00B01DEE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>Dirección de Ed</w:t>
      </w:r>
      <w:r w:rsidR="006374E7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ucación Superior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“2 de abril de 1982”</w:t>
      </w:r>
    </w:p>
    <w:p w:rsidR="00B01DEE" w:rsidRPr="00B01DEE" w:rsidRDefault="006374E7" w:rsidP="00B01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Sede: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1250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Sub-sede:</w:t>
      </w:r>
      <w:r w:rsidR="00A33F6A" w:rsidRPr="00A33F6A">
        <w:t xml:space="preserve"> </w:t>
      </w:r>
      <w:r w:rsidR="00A33F6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914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-  Ramos Mejía -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La Matanza </w:t>
      </w:r>
    </w:p>
    <w:p w:rsidR="00A9437F" w:rsidRPr="00B01DEE" w:rsidRDefault="00566B6F" w:rsidP="00B01D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</w:pPr>
      <w:hyperlink r:id="rId9" w:history="1">
        <w:r w:rsidR="00B01DEE" w:rsidRPr="00B01DEE">
          <w:rPr>
            <w:rStyle w:val="Hipervnculo"/>
            <w:rFonts w:ascii="Times New Roman" w:eastAsia="Arial Unicode MS" w:hAnsi="Times New Roman"/>
            <w:b/>
            <w:bCs/>
            <w:u w:color="000000"/>
            <w:bdr w:val="nil"/>
            <w:lang w:val="es-MX" w:eastAsia="es-MX"/>
          </w:rPr>
          <w:t>www.instituto46.edu.ar</w:t>
        </w:r>
      </w:hyperlink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- @instituo.46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 </w:t>
      </w:r>
    </w:p>
    <w:p w:rsidR="00B01DEE" w:rsidRPr="00F13011" w:rsidRDefault="00B01DEE" w:rsidP="00B01DEE">
      <w:pPr>
        <w:jc w:val="both"/>
        <w:rPr>
          <w:rFonts w:ascii="Times New Roman" w:hAnsi="Times New Roman"/>
          <w:color w:val="0070C0"/>
          <w:sz w:val="24"/>
          <w:szCs w:val="24"/>
          <w:lang w:val="es-MX"/>
        </w:rPr>
      </w:pP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3011">
        <w:rPr>
          <w:rFonts w:ascii="Times New Roman" w:hAnsi="Times New Roman"/>
          <w:color w:val="000000"/>
          <w:sz w:val="24"/>
          <w:szCs w:val="24"/>
        </w:rPr>
        <w:t xml:space="preserve">CARRERA: </w:t>
      </w:r>
      <w:r w:rsidRPr="00F13011">
        <w:rPr>
          <w:rFonts w:ascii="Times New Roman" w:hAnsi="Times New Roman"/>
          <w:sz w:val="24"/>
          <w:szCs w:val="24"/>
        </w:rPr>
        <w:t>PROFESORADO DE EDUCACIÓN PRIMARIA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3011">
        <w:rPr>
          <w:rFonts w:ascii="Times New Roman" w:hAnsi="Times New Roman"/>
          <w:color w:val="000000"/>
          <w:sz w:val="24"/>
          <w:szCs w:val="24"/>
        </w:rPr>
        <w:t xml:space="preserve">CURSO Y COMISIÓN: 4 º Año.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3011">
        <w:rPr>
          <w:rFonts w:ascii="Times New Roman" w:hAnsi="Times New Roman"/>
          <w:color w:val="000000"/>
          <w:sz w:val="24"/>
          <w:szCs w:val="24"/>
        </w:rPr>
        <w:t xml:space="preserve">PERSPECTIVA/ESPACIO CURRICULAR/MATERIA: </w:t>
      </w:r>
      <w:r w:rsidRPr="00F13011">
        <w:rPr>
          <w:rFonts w:ascii="Times New Roman" w:hAnsi="Times New Roman"/>
          <w:sz w:val="24"/>
          <w:szCs w:val="24"/>
        </w:rPr>
        <w:t>Reflexión Filosófica de la Educación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3011">
        <w:rPr>
          <w:rFonts w:ascii="Times New Roman" w:hAnsi="Times New Roman"/>
          <w:color w:val="000000"/>
          <w:sz w:val="24"/>
          <w:szCs w:val="24"/>
        </w:rPr>
        <w:t>DOCENTE: Prof. LEDWITH, ANDREA</w:t>
      </w:r>
    </w:p>
    <w:p w:rsidR="006C686F" w:rsidRPr="00F13011" w:rsidRDefault="00566B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6C686F" w:rsidRPr="00F13011">
          <w:rPr>
            <w:rStyle w:val="Hipervnculo"/>
            <w:rFonts w:ascii="Times New Roman" w:hAnsi="Times New Roman"/>
            <w:sz w:val="24"/>
            <w:szCs w:val="24"/>
          </w:rPr>
          <w:t>aledwith@abc.gob.ar</w:t>
        </w:r>
      </w:hyperlink>
      <w:r w:rsidR="006C686F" w:rsidRPr="00F130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21415" w:rsidRPr="00F13011" w:rsidRDefault="006C686F" w:rsidP="00566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color w:val="000000"/>
          <w:sz w:val="24"/>
          <w:szCs w:val="24"/>
        </w:rPr>
        <w:t xml:space="preserve">HORAS DE CLASES SEMANALES: </w:t>
      </w:r>
      <w:r w:rsidRPr="00F13011">
        <w:rPr>
          <w:rFonts w:ascii="Times New Roman" w:hAnsi="Times New Roman"/>
          <w:sz w:val="24"/>
          <w:szCs w:val="24"/>
        </w:rPr>
        <w:t>1MÓDULO + 1 MÓDULO TAIN</w:t>
      </w:r>
      <w:bookmarkStart w:id="0" w:name="_GoBack"/>
      <w:bookmarkEnd w:id="0"/>
    </w:p>
    <w:p w:rsidR="006C686F" w:rsidRPr="00F13011" w:rsidRDefault="003804E8" w:rsidP="00566B6F">
      <w:pPr>
        <w:spacing w:after="0" w:line="24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 xml:space="preserve">-FUNDAMENTACIÓN: </w:t>
      </w:r>
      <w:r w:rsidR="00566B6F"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 xml:space="preserve">Este espacio curricular, favorece la comprensión de los aspectos filosóficos que sustentan al diseño curricular y a las propuestas didácticas, desde los puntos de vista ontológicos, axiológicos y epistemológicos. Ello conlleva a repensar la tarea educativa y el posicionamiento docente, a la luz de una reflexión filosófica que explicite los problemas educativos y busque en miradas interdisciplinares posibilidades para resolverlos. </w:t>
      </w:r>
    </w:p>
    <w:p w:rsidR="00082E91" w:rsidRPr="00F13011" w:rsidRDefault="00082E91" w:rsidP="00021415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val="es-MX"/>
        </w:rPr>
      </w:pPr>
      <w:r w:rsidRPr="00F13011">
        <w:rPr>
          <w:rFonts w:ascii="Times New Roman" w:eastAsia="Times New Roman" w:hAnsi="Times New Roman"/>
          <w:sz w:val="24"/>
          <w:szCs w:val="24"/>
          <w:u w:val="single"/>
          <w:lang w:val="es-MX"/>
        </w:rPr>
        <w:t>-PROPÓSITOS DEL DOCENTE</w:t>
      </w:r>
    </w:p>
    <w:p w:rsidR="00082E91" w:rsidRPr="00F13011" w:rsidRDefault="00566B6F" w:rsidP="00566B6F">
      <w:pPr>
        <w:spacing w:after="0" w:line="240" w:lineRule="auto"/>
        <w:jc w:val="both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 xml:space="preserve">Explicitar diferentes concepciones filosóficas que sustentan a la educación, al diseño curricular y a la práctica docente. Favorecer el análisis de las problemáticas educativas y los modos en que la reflexión filosófica permite analizarlos e intentar resolverlos. Colaborar en la concientización acerca de los modos en que la filosofía de la educación posibilita un posicionamiento docente reflexivo y crítico. </w:t>
      </w:r>
    </w:p>
    <w:p w:rsidR="00021415" w:rsidRPr="00F13011" w:rsidRDefault="00021415" w:rsidP="00566B6F">
      <w:pPr>
        <w:spacing w:after="0" w:line="24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>-OBJETIVOS DE LOS ESTUDIANTES</w:t>
      </w:r>
    </w:p>
    <w:p w:rsidR="006C686F" w:rsidRPr="00F13011" w:rsidRDefault="006C686F" w:rsidP="00566B6F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Al finalizar la cursada, se espera que los/las estudiantes se encuentren en condiciones de:</w:t>
      </w:r>
    </w:p>
    <w:p w:rsidR="006C686F" w:rsidRPr="00F13011" w:rsidRDefault="006C686F" w:rsidP="00566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Determinar los principales problemas de la educación.</w:t>
      </w:r>
    </w:p>
    <w:p w:rsidR="006C686F" w:rsidRPr="00F13011" w:rsidRDefault="006C686F" w:rsidP="00566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Conocer y comprender las concepciones filosóficas que fundamentan al currículum, a las teorías y a las prácticas educativas.</w:t>
      </w:r>
    </w:p>
    <w:p w:rsidR="006C686F" w:rsidRPr="00F13011" w:rsidRDefault="006C686F" w:rsidP="00566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Reconocer las múltiples relaciones entre filosofía y educación.</w:t>
      </w:r>
    </w:p>
    <w:p w:rsidR="006C686F" w:rsidRPr="00F13011" w:rsidRDefault="006C686F" w:rsidP="00566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Analizar las prácticas pedagógicas a la luz de los componentes de la filosofía de la educación.</w:t>
      </w:r>
    </w:p>
    <w:p w:rsidR="00021415" w:rsidRPr="00F13011" w:rsidRDefault="006C686F" w:rsidP="00566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Valorar los aportes de las reflexiones filosóficas de la educación a su perfil docente y al futuro rol  profesional.</w:t>
      </w:r>
    </w:p>
    <w:p w:rsidR="006C686F" w:rsidRPr="00F13011" w:rsidRDefault="00021415" w:rsidP="00021415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>-CONTENIDOS</w:t>
      </w:r>
      <w:r w:rsidR="00082E91"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 xml:space="preserve"> Y BIBLIOGRAFÍA</w:t>
      </w:r>
      <w:r w:rsidR="00082E91"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 xml:space="preserve">.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bCs/>
          <w:color w:val="000000"/>
          <w:sz w:val="24"/>
          <w:szCs w:val="24"/>
        </w:rPr>
        <w:t>Unidad didáctica 1: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Problemas de la educación: necesidad, legitimidad, posibilidad, límites.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Concepciones filosóficas que fundamentan las teorías y las prácticas educativas.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Problemas de axiología y teleología en la educación.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Dialéctica de la educación. Pensamiento, lenguaje y educación.</w:t>
      </w:r>
    </w:p>
    <w:p w:rsidR="006C686F" w:rsidRPr="00F13011" w:rsidRDefault="006C686F" w:rsidP="006C686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color w:val="000000"/>
          <w:sz w:val="24"/>
          <w:szCs w:val="24"/>
        </w:rPr>
        <w:t>Bibliografía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 xml:space="preserve">Ferré, N. (2003) Reflexiones sobre filosofía, sociedad y educación. </w:t>
      </w:r>
      <w:r w:rsidRPr="00F13011">
        <w:rPr>
          <w:rFonts w:ascii="Times New Roman" w:hAnsi="Times New Roman"/>
          <w:i/>
          <w:sz w:val="24"/>
          <w:szCs w:val="24"/>
        </w:rPr>
        <w:t>Filosofía, sociedad y educación. Convergencias y recuperaciones en filosofía de la educación</w:t>
      </w:r>
      <w:proofErr w:type="gramStart"/>
      <w:r w:rsidRPr="00F13011">
        <w:rPr>
          <w:rFonts w:ascii="Times New Roman" w:hAnsi="Times New Roman"/>
          <w:sz w:val="24"/>
          <w:szCs w:val="24"/>
        </w:rPr>
        <w:t>.(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Capítulo 1.p.9-14) Bs. As. UNSAM. J. Baudino Ediciones.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Kohan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, W. (2007).  ¿La filosofía educa a la infancia? en </w:t>
      </w:r>
      <w:r w:rsidRPr="00F13011">
        <w:rPr>
          <w:rFonts w:ascii="Times New Roman" w:hAnsi="Times New Roman"/>
          <w:i/>
          <w:sz w:val="24"/>
          <w:szCs w:val="24"/>
        </w:rPr>
        <w:t>Infancia, política y pensamiento. Ensayos de filosofía y educación.</w:t>
      </w:r>
      <w:r w:rsidRPr="00F13011">
        <w:rPr>
          <w:rFonts w:ascii="Times New Roman" w:hAnsi="Times New Roman"/>
          <w:sz w:val="24"/>
          <w:szCs w:val="24"/>
        </w:rPr>
        <w:t xml:space="preserve"> (Capítulo 3.p.109-126)Bs. As. Del estante editorial.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Fullat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13011">
        <w:rPr>
          <w:rFonts w:ascii="Times New Roman" w:hAnsi="Times New Roman"/>
          <w:sz w:val="24"/>
          <w:szCs w:val="24"/>
        </w:rPr>
        <w:t>Genis</w:t>
      </w:r>
      <w:proofErr w:type="spellEnd"/>
      <w:r w:rsidRPr="00F13011">
        <w:rPr>
          <w:rFonts w:ascii="Times New Roman" w:hAnsi="Times New Roman"/>
          <w:sz w:val="24"/>
          <w:szCs w:val="24"/>
        </w:rPr>
        <w:t>, o</w:t>
      </w:r>
      <w:proofErr w:type="gramStart"/>
      <w:r w:rsidRPr="00F13011">
        <w:rPr>
          <w:rFonts w:ascii="Times New Roman" w:hAnsi="Times New Roman"/>
          <w:sz w:val="24"/>
          <w:szCs w:val="24"/>
        </w:rPr>
        <w:t>.(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2003) Sentido y educación en </w:t>
      </w:r>
      <w:r w:rsidRPr="00F13011">
        <w:rPr>
          <w:rFonts w:ascii="Times New Roman" w:hAnsi="Times New Roman"/>
          <w:i/>
          <w:sz w:val="24"/>
          <w:szCs w:val="24"/>
        </w:rPr>
        <w:t>Educación y Filosofía</w:t>
      </w:r>
      <w:r w:rsidRPr="00F130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13011">
        <w:rPr>
          <w:rFonts w:ascii="Times New Roman" w:hAnsi="Times New Roman"/>
          <w:sz w:val="24"/>
          <w:szCs w:val="24"/>
        </w:rPr>
        <w:t>Houssaye</w:t>
      </w:r>
      <w:proofErr w:type="spellEnd"/>
      <w:r w:rsidRPr="00F13011">
        <w:rPr>
          <w:rFonts w:ascii="Times New Roman" w:hAnsi="Times New Roman"/>
          <w:sz w:val="24"/>
          <w:szCs w:val="24"/>
        </w:rPr>
        <w:t>, J</w:t>
      </w:r>
      <w:proofErr w:type="gramStart"/>
      <w:r w:rsidRPr="00F13011">
        <w:rPr>
          <w:rFonts w:ascii="Times New Roman" w:hAnsi="Times New Roman"/>
          <w:sz w:val="24"/>
          <w:szCs w:val="24"/>
        </w:rPr>
        <w:t>.(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compilador).(Capítulo 9. P.219-250) Educación y filosofía. Enfoques contemporáneos. Bs. As. </w:t>
      </w:r>
      <w:proofErr w:type="spellStart"/>
      <w:r w:rsidRPr="00F13011">
        <w:rPr>
          <w:rFonts w:ascii="Times New Roman" w:hAnsi="Times New Roman"/>
          <w:sz w:val="24"/>
          <w:szCs w:val="24"/>
        </w:rPr>
        <w:t>Eudeba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.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Kohan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, W. (2003) Un ejercicio de filosofía de la educación. En AA/VV </w:t>
      </w:r>
      <w:r w:rsidRPr="00F13011">
        <w:rPr>
          <w:rFonts w:ascii="Times New Roman" w:hAnsi="Times New Roman"/>
          <w:i/>
          <w:sz w:val="24"/>
          <w:szCs w:val="24"/>
        </w:rPr>
        <w:t>Cuaderno de Pedagogía Rosario. Dossier 2</w:t>
      </w:r>
      <w:r w:rsidRPr="00F13011">
        <w:rPr>
          <w:rFonts w:ascii="Times New Roman" w:hAnsi="Times New Roman"/>
          <w:sz w:val="24"/>
          <w:szCs w:val="24"/>
        </w:rPr>
        <w:t>. (</w:t>
      </w:r>
      <w:proofErr w:type="gramStart"/>
      <w:r w:rsidRPr="00F13011">
        <w:rPr>
          <w:rFonts w:ascii="Times New Roman" w:hAnsi="Times New Roman"/>
          <w:sz w:val="24"/>
          <w:szCs w:val="24"/>
        </w:rPr>
        <w:t>p.73-77</w:t>
      </w:r>
      <w:proofErr w:type="gramEnd"/>
      <w:r w:rsidRPr="00F13011">
        <w:rPr>
          <w:rFonts w:ascii="Times New Roman" w:hAnsi="Times New Roman"/>
          <w:sz w:val="24"/>
          <w:szCs w:val="24"/>
        </w:rPr>
        <w:t>) Bs. As. Libros del Zorzal.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s-AR"/>
        </w:rPr>
      </w:pPr>
      <w:r w:rsidRPr="00F13011">
        <w:rPr>
          <w:rFonts w:ascii="Times New Roman" w:hAnsi="Times New Roman"/>
          <w:b/>
          <w:sz w:val="24"/>
          <w:szCs w:val="24"/>
          <w:lang w:eastAsia="es-AR"/>
        </w:rPr>
        <w:lastRenderedPageBreak/>
        <w:t>Unidad didáctica 2: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Los “mundos” del ser humano y el campo educativo. Las comunidades educativas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Articulación entre el sentido social y el sentido subjetivo de la educación.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Discursos del sujeto y discursos de las instituciones.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Saberes que intervienen en el proceso educativo. Fundamentos epistemológicos de las áreas disciplinares incluidas en el currículum.</w:t>
      </w:r>
    </w:p>
    <w:p w:rsidR="006C686F" w:rsidRPr="00F13011" w:rsidRDefault="006C686F" w:rsidP="006C686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color w:val="000000"/>
          <w:sz w:val="24"/>
          <w:szCs w:val="24"/>
        </w:rPr>
        <w:t xml:space="preserve">Bibliografía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Diker</w:t>
      </w:r>
      <w:proofErr w:type="spellEnd"/>
      <w:r w:rsidRPr="00F13011">
        <w:rPr>
          <w:rFonts w:ascii="Times New Roman" w:hAnsi="Times New Roman"/>
          <w:sz w:val="24"/>
          <w:szCs w:val="24"/>
        </w:rPr>
        <w:t>, G</w:t>
      </w:r>
      <w:proofErr w:type="gramStart"/>
      <w:r w:rsidRPr="00F13011">
        <w:rPr>
          <w:rFonts w:ascii="Times New Roman" w:hAnsi="Times New Roman"/>
          <w:sz w:val="24"/>
          <w:szCs w:val="24"/>
        </w:rPr>
        <w:t>.(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2004) Y el debate continúa. </w:t>
      </w:r>
      <w:proofErr w:type="gramStart"/>
      <w:r w:rsidRPr="00F13011">
        <w:rPr>
          <w:rFonts w:ascii="Times New Roman" w:hAnsi="Times New Roman"/>
          <w:sz w:val="24"/>
          <w:szCs w:val="24"/>
        </w:rPr>
        <w:t>¿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Por qué hablar de transmisión. En Frigerio, G. </w:t>
      </w:r>
      <w:proofErr w:type="spellStart"/>
      <w:r w:rsidRPr="00F13011">
        <w:rPr>
          <w:rFonts w:ascii="Times New Roman" w:hAnsi="Times New Roman"/>
          <w:sz w:val="24"/>
          <w:szCs w:val="24"/>
        </w:rPr>
        <w:t>Diker</w:t>
      </w:r>
      <w:proofErr w:type="spellEnd"/>
      <w:r w:rsidRPr="00F13011">
        <w:rPr>
          <w:rFonts w:ascii="Times New Roman" w:hAnsi="Times New Roman"/>
          <w:sz w:val="24"/>
          <w:szCs w:val="24"/>
        </w:rPr>
        <w:t>, G. (</w:t>
      </w:r>
      <w:proofErr w:type="spellStart"/>
      <w:r w:rsidRPr="00F13011">
        <w:rPr>
          <w:rFonts w:ascii="Times New Roman" w:hAnsi="Times New Roman"/>
          <w:sz w:val="24"/>
          <w:szCs w:val="24"/>
        </w:rPr>
        <w:t>comps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). </w:t>
      </w:r>
      <w:r w:rsidRPr="00F13011">
        <w:rPr>
          <w:rFonts w:ascii="Times New Roman" w:hAnsi="Times New Roman"/>
          <w:i/>
          <w:sz w:val="24"/>
          <w:szCs w:val="24"/>
        </w:rPr>
        <w:t xml:space="preserve">La transmisión en las sociedades, las instituciones y los sujetos. Un concepto de la educación en acción. </w:t>
      </w:r>
      <w:r w:rsidRPr="00F13011">
        <w:rPr>
          <w:rFonts w:ascii="Times New Roman" w:hAnsi="Times New Roman"/>
          <w:sz w:val="24"/>
          <w:szCs w:val="24"/>
        </w:rPr>
        <w:t xml:space="preserve">(223-230)Bs. As. </w:t>
      </w:r>
      <w:proofErr w:type="spellStart"/>
      <w:r w:rsidRPr="00F13011">
        <w:rPr>
          <w:rFonts w:ascii="Times New Roman" w:hAnsi="Times New Roman"/>
          <w:sz w:val="24"/>
          <w:szCs w:val="24"/>
        </w:rPr>
        <w:t>Noveduc</w:t>
      </w:r>
      <w:proofErr w:type="spellEnd"/>
      <w:r w:rsidRPr="00F13011">
        <w:rPr>
          <w:rFonts w:ascii="Times New Roman" w:hAnsi="Times New Roman"/>
          <w:sz w:val="24"/>
          <w:szCs w:val="24"/>
        </w:rPr>
        <w:t>. CEM.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Cullen</w:t>
      </w:r>
      <w:proofErr w:type="spellEnd"/>
      <w:r w:rsidRPr="00F13011">
        <w:rPr>
          <w:rFonts w:ascii="Times New Roman" w:hAnsi="Times New Roman"/>
          <w:sz w:val="24"/>
          <w:szCs w:val="24"/>
        </w:rPr>
        <w:t>, C</w:t>
      </w:r>
      <w:proofErr w:type="gramStart"/>
      <w:r w:rsidRPr="00F13011">
        <w:rPr>
          <w:rFonts w:ascii="Times New Roman" w:hAnsi="Times New Roman"/>
          <w:sz w:val="24"/>
          <w:szCs w:val="24"/>
        </w:rPr>
        <w:t>.(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2004) .Racionalidad y educación. Problemas teóricos y epistemológicos de la educación. En </w:t>
      </w:r>
      <w:r w:rsidRPr="00F13011">
        <w:rPr>
          <w:rFonts w:ascii="Times New Roman" w:hAnsi="Times New Roman"/>
          <w:i/>
          <w:sz w:val="24"/>
          <w:szCs w:val="24"/>
        </w:rPr>
        <w:t>Filosofía, cultura y racionalidad crítica. Nuevos caminos para pensar la educación</w:t>
      </w:r>
      <w:r w:rsidRPr="00F130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13011">
        <w:rPr>
          <w:rFonts w:ascii="Times New Roman" w:hAnsi="Times New Roman"/>
          <w:sz w:val="24"/>
          <w:szCs w:val="24"/>
        </w:rPr>
        <w:t>Cullen</w:t>
      </w:r>
      <w:proofErr w:type="spellEnd"/>
      <w:r w:rsidRPr="00F13011">
        <w:rPr>
          <w:rFonts w:ascii="Times New Roman" w:hAnsi="Times New Roman"/>
          <w:sz w:val="24"/>
          <w:szCs w:val="24"/>
        </w:rPr>
        <w:t>, C. (Compilador). (Primera parte. P. 17-45) Bs. As. Editorial Stella- La Crujía.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Siede</w:t>
      </w:r>
      <w:proofErr w:type="spellEnd"/>
      <w:r w:rsidRPr="00F13011">
        <w:rPr>
          <w:rFonts w:ascii="Times New Roman" w:hAnsi="Times New Roman"/>
          <w:sz w:val="24"/>
          <w:szCs w:val="24"/>
        </w:rPr>
        <w:t>, I</w:t>
      </w:r>
      <w:proofErr w:type="gramStart"/>
      <w:r w:rsidRPr="00F13011">
        <w:rPr>
          <w:rFonts w:ascii="Times New Roman" w:hAnsi="Times New Roman"/>
          <w:sz w:val="24"/>
          <w:szCs w:val="24"/>
        </w:rPr>
        <w:t>.(</w:t>
      </w:r>
      <w:proofErr w:type="gramEnd"/>
      <w:r w:rsidRPr="00F13011">
        <w:rPr>
          <w:rFonts w:ascii="Times New Roman" w:hAnsi="Times New Roman"/>
          <w:sz w:val="24"/>
          <w:szCs w:val="24"/>
        </w:rPr>
        <w:t xml:space="preserve">2007) Introducción: Preguntas para dar un territorio al pensamiento. En </w:t>
      </w:r>
      <w:r w:rsidRPr="00F13011">
        <w:rPr>
          <w:rFonts w:ascii="Times New Roman" w:hAnsi="Times New Roman"/>
          <w:i/>
          <w:sz w:val="24"/>
          <w:szCs w:val="24"/>
        </w:rPr>
        <w:t>La educación política. Ensayos sobre ética y ciudadanía en la escuela</w:t>
      </w:r>
      <w:r w:rsidRPr="00F13011">
        <w:rPr>
          <w:rFonts w:ascii="Times New Roman" w:hAnsi="Times New Roman"/>
          <w:sz w:val="24"/>
          <w:szCs w:val="24"/>
        </w:rPr>
        <w:t xml:space="preserve">. (Introducción. P. 23-32) Bs. As. Paidós.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bCs/>
          <w:color w:val="000000"/>
          <w:sz w:val="24"/>
          <w:szCs w:val="24"/>
        </w:rPr>
        <w:t xml:space="preserve">Bibliografía ampliatoria: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Cullen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, C. (2009). El lugar de la ética en la formación docente en </w:t>
      </w:r>
      <w:r w:rsidRPr="00F13011">
        <w:rPr>
          <w:rFonts w:ascii="Times New Roman" w:hAnsi="Times New Roman"/>
          <w:i/>
          <w:sz w:val="24"/>
          <w:szCs w:val="24"/>
        </w:rPr>
        <w:t xml:space="preserve">Entrañas éticas de la identidad docente. </w:t>
      </w:r>
      <w:r w:rsidRPr="00F13011">
        <w:rPr>
          <w:rFonts w:ascii="Times New Roman" w:hAnsi="Times New Roman"/>
          <w:sz w:val="24"/>
          <w:szCs w:val="24"/>
        </w:rPr>
        <w:t>(Capítulo4. P. 77-97) Bs. As. La Crujía.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 xml:space="preserve">Frigerio, G. (2003) Las figuras del extranjero y algunas de sus resonancias. En AA/VV. </w:t>
      </w:r>
      <w:r w:rsidRPr="00F13011">
        <w:rPr>
          <w:rFonts w:ascii="Times New Roman" w:hAnsi="Times New Roman"/>
          <w:i/>
          <w:sz w:val="24"/>
          <w:szCs w:val="24"/>
        </w:rPr>
        <w:t>Educación y alteridad. Las figuras del extranjero. Textos multidisciplinarios. Bs. As</w:t>
      </w:r>
      <w:r w:rsidRPr="00F13011">
        <w:rPr>
          <w:rFonts w:ascii="Times New Roman" w:hAnsi="Times New Roman"/>
          <w:sz w:val="24"/>
          <w:szCs w:val="24"/>
        </w:rPr>
        <w:t xml:space="preserve">. (p. 6-13) Bs. As. </w:t>
      </w:r>
      <w:proofErr w:type="spellStart"/>
      <w:r w:rsidRPr="00F13011">
        <w:rPr>
          <w:rFonts w:ascii="Times New Roman" w:hAnsi="Times New Roman"/>
          <w:sz w:val="24"/>
          <w:szCs w:val="24"/>
        </w:rPr>
        <w:t>Noveduc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. Colección Ensayos y experiencias. 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Tedesco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, J.C. (2008) ¿Son posibles las políticas de subjetividad? En </w:t>
      </w:r>
      <w:proofErr w:type="spellStart"/>
      <w:r w:rsidRPr="00F13011">
        <w:rPr>
          <w:rFonts w:ascii="Times New Roman" w:hAnsi="Times New Roman"/>
          <w:sz w:val="24"/>
          <w:szCs w:val="24"/>
        </w:rPr>
        <w:t>Tenti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3011">
        <w:rPr>
          <w:rFonts w:ascii="Times New Roman" w:hAnsi="Times New Roman"/>
          <w:sz w:val="24"/>
          <w:szCs w:val="24"/>
        </w:rPr>
        <w:t>Fanfani</w:t>
      </w:r>
      <w:proofErr w:type="spellEnd"/>
      <w:r w:rsidRPr="00F13011">
        <w:rPr>
          <w:rFonts w:ascii="Times New Roman" w:hAnsi="Times New Roman"/>
          <w:sz w:val="24"/>
          <w:szCs w:val="24"/>
        </w:rPr>
        <w:t>, E. (</w:t>
      </w:r>
      <w:proofErr w:type="spellStart"/>
      <w:r w:rsidRPr="00F13011">
        <w:rPr>
          <w:rFonts w:ascii="Times New Roman" w:hAnsi="Times New Roman"/>
          <w:sz w:val="24"/>
          <w:szCs w:val="24"/>
        </w:rPr>
        <w:t>comp</w:t>
      </w:r>
      <w:proofErr w:type="spellEnd"/>
      <w:r w:rsidRPr="00F13011">
        <w:rPr>
          <w:rFonts w:ascii="Times New Roman" w:hAnsi="Times New Roman"/>
          <w:sz w:val="24"/>
          <w:szCs w:val="24"/>
        </w:rPr>
        <w:t>)</w:t>
      </w:r>
      <w:r w:rsidRPr="00F13011">
        <w:rPr>
          <w:rFonts w:ascii="Times New Roman" w:hAnsi="Times New Roman"/>
          <w:i/>
          <w:sz w:val="24"/>
          <w:szCs w:val="24"/>
        </w:rPr>
        <w:t>. Nuevos temas en la agenda de política educativa</w:t>
      </w:r>
      <w:r w:rsidRPr="00F13011">
        <w:rPr>
          <w:rFonts w:ascii="Times New Roman" w:hAnsi="Times New Roman"/>
          <w:sz w:val="24"/>
          <w:szCs w:val="24"/>
        </w:rPr>
        <w:t>. (Capítulo3. P. 53-64) Bs. As. Siglo XXI editores.</w:t>
      </w:r>
    </w:p>
    <w:p w:rsidR="006C686F" w:rsidRPr="00F13011" w:rsidRDefault="006C686F" w:rsidP="006C686F">
      <w:pPr>
        <w:pStyle w:val="Prrafodelista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s-AR"/>
        </w:rPr>
      </w:pPr>
      <w:r w:rsidRPr="00F13011">
        <w:rPr>
          <w:rFonts w:ascii="Times New Roman" w:hAnsi="Times New Roman"/>
          <w:b/>
          <w:sz w:val="24"/>
          <w:szCs w:val="24"/>
          <w:lang w:val="es-AR"/>
        </w:rPr>
        <w:t>Bibliografía docente:</w:t>
      </w:r>
    </w:p>
    <w:p w:rsidR="006C686F" w:rsidRPr="00F13011" w:rsidRDefault="006C686F" w:rsidP="006C686F">
      <w:pPr>
        <w:spacing w:after="0" w:line="240" w:lineRule="auto"/>
        <w:rPr>
          <w:rFonts w:ascii="Times New Roman" w:hAnsi="Times New Roman"/>
          <w:b/>
          <w:sz w:val="24"/>
          <w:szCs w:val="24"/>
          <w:lang w:val="es-AR"/>
        </w:rPr>
      </w:pPr>
      <w:r w:rsidRPr="00F13011">
        <w:rPr>
          <w:rFonts w:ascii="Times New Roman" w:hAnsi="Times New Roman"/>
          <w:sz w:val="24"/>
          <w:szCs w:val="24"/>
        </w:rPr>
        <w:t xml:space="preserve">Adorno, T. (1998): Educación para la </w:t>
      </w:r>
      <w:proofErr w:type="spellStart"/>
      <w:r w:rsidRPr="00F13011">
        <w:rPr>
          <w:rFonts w:ascii="Times New Roman" w:hAnsi="Times New Roman"/>
          <w:sz w:val="24"/>
          <w:szCs w:val="24"/>
        </w:rPr>
        <w:t>emancipación.Ediciones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 Morata. Madrid. 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Alvarez</w:t>
      </w:r>
      <w:proofErr w:type="spellEnd"/>
      <w:r w:rsidRPr="00F13011">
        <w:rPr>
          <w:rFonts w:ascii="Times New Roman" w:hAnsi="Times New Roman"/>
          <w:sz w:val="24"/>
          <w:szCs w:val="24"/>
        </w:rPr>
        <w:t>- Uría. F. Varela, J. (1991): Arqueología de la escuela. Ediciones La Piqueta. Madrid.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011">
        <w:rPr>
          <w:rFonts w:ascii="Times New Roman" w:hAnsi="Times New Roman"/>
          <w:sz w:val="24"/>
          <w:szCs w:val="24"/>
        </w:rPr>
        <w:t>Arendt</w:t>
      </w:r>
      <w:proofErr w:type="spellEnd"/>
      <w:r w:rsidRPr="00F13011">
        <w:rPr>
          <w:rFonts w:ascii="Times New Roman" w:hAnsi="Times New Roman"/>
          <w:sz w:val="24"/>
          <w:szCs w:val="24"/>
        </w:rPr>
        <w:t>, H. (2005): Paidós. Bs. As.</w:t>
      </w:r>
    </w:p>
    <w:p w:rsidR="006C686F" w:rsidRPr="00F13011" w:rsidRDefault="006C686F" w:rsidP="00566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13011">
        <w:rPr>
          <w:rFonts w:ascii="Times New Roman" w:hAnsi="Times New Roman"/>
          <w:sz w:val="24"/>
          <w:szCs w:val="24"/>
        </w:rPr>
        <w:t xml:space="preserve">Foucault, M. (2009): Vigilar y castigar. Siglo XXI Editores. México. </w:t>
      </w:r>
    </w:p>
    <w:p w:rsidR="00021415" w:rsidRPr="00F13011" w:rsidRDefault="00021415" w:rsidP="00566B6F">
      <w:pPr>
        <w:spacing w:after="0" w:line="24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>-</w:t>
      </w: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>INTERVENCIÓN DIDÁCTICA</w:t>
      </w:r>
    </w:p>
    <w:p w:rsidR="00021415" w:rsidRPr="00F13011" w:rsidRDefault="00566B6F" w:rsidP="00566B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/>
        </w:rPr>
      </w:pPr>
      <w:r w:rsidRPr="00F13011">
        <w:rPr>
          <w:rFonts w:ascii="Times New Roman" w:eastAsia="Times New Roman" w:hAnsi="Times New Roman"/>
          <w:sz w:val="24"/>
          <w:szCs w:val="24"/>
          <w:lang w:val="es-MX"/>
        </w:rPr>
        <w:t xml:space="preserve">La propuesta de intervención didáctica se enuncia en torno a mediar entre los y las docentes en formación y el conocimiento, y alentar allí un posicionamiento ligado a la reflexión crítica acerca de la educación y de los modos en que la filosofía puede contribuir a resolverlos.  </w:t>
      </w:r>
    </w:p>
    <w:p w:rsidR="00566B6F" w:rsidRPr="00F13011" w:rsidRDefault="00021415" w:rsidP="00566B6F">
      <w:pPr>
        <w:spacing w:after="0" w:line="24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>-PRESUPUESTO DE TIEMPO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78"/>
        <w:gridCol w:w="3095"/>
        <w:gridCol w:w="3095"/>
      </w:tblGrid>
      <w:tr w:rsidR="00566B6F" w:rsidRPr="00F13011" w:rsidTr="00566B6F">
        <w:trPr>
          <w:trHeight w:val="662"/>
        </w:trPr>
        <w:tc>
          <w:tcPr>
            <w:tcW w:w="2878" w:type="dxa"/>
            <w:tcBorders>
              <w:bottom w:val="single" w:sz="4" w:space="0" w:color="auto"/>
            </w:tcBorders>
          </w:tcPr>
          <w:p w:rsidR="00566B6F" w:rsidRPr="00F13011" w:rsidRDefault="00566B6F" w:rsidP="00566B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566B6F" w:rsidRPr="00F13011" w:rsidRDefault="00566B6F" w:rsidP="00566B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566B6F" w:rsidRPr="00F13011" w:rsidRDefault="00566B6F" w:rsidP="00566B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>PRIMER CUATRIMESTRE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566B6F" w:rsidRPr="00F13011" w:rsidRDefault="00566B6F" w:rsidP="00566B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>SEGUNDO CUATRIMESTRE</w:t>
            </w:r>
          </w:p>
        </w:tc>
      </w:tr>
      <w:tr w:rsidR="00566B6F" w:rsidRPr="00F13011" w:rsidTr="00566B6F">
        <w:trPr>
          <w:trHeight w:val="1131"/>
        </w:trPr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u w:val="single"/>
                <w:lang w:val="es-ES"/>
              </w:rPr>
              <w:t>Bloque 1:</w:t>
            </w: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>Parcial individual y trabajo práctico grupal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>------------</w:t>
            </w:r>
          </w:p>
        </w:tc>
      </w:tr>
      <w:tr w:rsidR="00566B6F" w:rsidRPr="00F13011" w:rsidTr="00566B6F">
        <w:trPr>
          <w:trHeight w:val="698"/>
        </w:trPr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u w:val="single"/>
                <w:lang w:val="es-ES"/>
              </w:rPr>
              <w:t>Bloque 2</w:t>
            </w: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>----------------------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566B6F" w:rsidRPr="00F13011" w:rsidRDefault="00566B6F" w:rsidP="00566B6F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13011">
              <w:rPr>
                <w:rFonts w:ascii="Times New Roman" w:hAnsi="Times New Roman"/>
                <w:sz w:val="24"/>
                <w:szCs w:val="24"/>
                <w:lang w:val="es-ES"/>
              </w:rPr>
              <w:t>Trabajo práctico grupal relacionado con los diseños curriculares del Nivel Primario</w:t>
            </w:r>
          </w:p>
        </w:tc>
      </w:tr>
    </w:tbl>
    <w:p w:rsidR="00021415" w:rsidRPr="00F13011" w:rsidRDefault="00021415" w:rsidP="00021415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val="es-MX"/>
        </w:rPr>
      </w:pPr>
    </w:p>
    <w:p w:rsidR="00021415" w:rsidRPr="00F13011" w:rsidRDefault="00021415" w:rsidP="00021415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>-IMPACTO EN EL ESPACIO DE LA PRÁCTICA</w:t>
      </w:r>
    </w:p>
    <w:p w:rsidR="00021415" w:rsidRPr="00F13011" w:rsidRDefault="00566B6F" w:rsidP="00F130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MX"/>
        </w:rPr>
      </w:pPr>
      <w:r w:rsidRPr="00F13011">
        <w:rPr>
          <w:rFonts w:ascii="Times New Roman" w:eastAsia="Times New Roman" w:hAnsi="Times New Roman"/>
          <w:sz w:val="24"/>
          <w:szCs w:val="24"/>
          <w:lang w:val="es-MX"/>
        </w:rPr>
        <w:t>Este espacio curricular permite analizar al diseño curricular desde las posiciones filosóficas que lo sustentan, permitiendo a su vez resignificar su práctica y la futura labor docente desde otras dimensiones. Permite conocer y comprender acerca del sujet</w:t>
      </w:r>
      <w:r w:rsidR="00F13011" w:rsidRPr="00F13011">
        <w:rPr>
          <w:rFonts w:ascii="Times New Roman" w:eastAsia="Times New Roman" w:hAnsi="Times New Roman"/>
          <w:sz w:val="24"/>
          <w:szCs w:val="24"/>
          <w:lang w:val="es-MX"/>
        </w:rPr>
        <w:t>o</w:t>
      </w:r>
      <w:r w:rsidRPr="00F13011">
        <w:rPr>
          <w:rFonts w:ascii="Times New Roman" w:eastAsia="Times New Roman" w:hAnsi="Times New Roman"/>
          <w:sz w:val="24"/>
          <w:szCs w:val="24"/>
          <w:lang w:val="es-MX"/>
        </w:rPr>
        <w:t xml:space="preserve"> y la subjetividad, los </w:t>
      </w:r>
      <w:r w:rsidR="00F13011" w:rsidRPr="00F13011">
        <w:rPr>
          <w:rFonts w:ascii="Times New Roman" w:eastAsia="Times New Roman" w:hAnsi="Times New Roman"/>
          <w:sz w:val="24"/>
          <w:szCs w:val="24"/>
          <w:lang w:val="es-MX"/>
        </w:rPr>
        <w:t xml:space="preserve">aspectos axiológicos y epistemológicos que sustentan a la educación y la importancia de la reflexión crítica para desplegar prácticas educativas transformadoras. </w:t>
      </w:r>
    </w:p>
    <w:p w:rsidR="00021415" w:rsidRPr="00F13011" w:rsidRDefault="00021415" w:rsidP="00021415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u w:val="single"/>
          <w:lang w:val="es-MX"/>
        </w:rPr>
        <w:t>-EVALUACION:</w:t>
      </w: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 xml:space="preserve"> 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lastRenderedPageBreak/>
        <w:t>Este espacio curricular sustenta una modalidad de evaluación permanente, de proceso, formativa. Se concibe a la evaluación como parte del proceso de enseñanza y de aprendizajes, por lo tanto se constituye a la evaluación en un instrumento que proporcione datos acerca de los conocimientos de los/ las estudiantes, que permita reconocer la evolución alcanzada y sobre todo que les aporte a los mismos estudiantes, información sobre sus aprendizajes. Al mismo tiempo, esta evaluación tiene que aportar a la cátedra datos acerca de la enseñanza y las modificaciones necesarias de practicar, si las hubiese. Una modalidad que desde la retroalimentación, proporcione información para todos los /las actores de la práctica pedagógica.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Para ello se diseñan diferentes modalidades, instrumentos y dispositivos de evaluación, en distintos momentos.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  <w:u w:val="single"/>
        </w:rPr>
        <w:t>Evaluación diagnóstica</w:t>
      </w:r>
      <w:r w:rsidRPr="00F13011">
        <w:rPr>
          <w:rFonts w:ascii="Times New Roman" w:hAnsi="Times New Roman"/>
          <w:sz w:val="24"/>
          <w:szCs w:val="24"/>
        </w:rPr>
        <w:t xml:space="preserve">: toma de encuesta sobre los saberes previos de los contenidos del espacio curricular, sobre las modalidades de estudio y concepciones personales sobre algunas temáticas específicas tales como pensar filosóficamente, pensamiento, lenguaje y educación. Fundamentación filosófica de la educación y de las prácticas. 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  <w:u w:val="single"/>
        </w:rPr>
        <w:t>Evaluación formativa:</w:t>
      </w:r>
      <w:r w:rsidRPr="00F13011">
        <w:rPr>
          <w:rFonts w:ascii="Times New Roman" w:hAnsi="Times New Roman"/>
          <w:sz w:val="24"/>
          <w:szCs w:val="24"/>
        </w:rPr>
        <w:t xml:space="preserve"> a partir de la observación y el análisis de la participación.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  <w:u w:val="single"/>
        </w:rPr>
        <w:t>Trabajos prácticos</w:t>
      </w:r>
      <w:r w:rsidRPr="00F13011">
        <w:rPr>
          <w:rFonts w:ascii="Times New Roman" w:hAnsi="Times New Roman"/>
          <w:sz w:val="24"/>
          <w:szCs w:val="24"/>
        </w:rPr>
        <w:t>: se aprueban con una calificación de 4 o más puntos.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  <w:u w:val="single"/>
        </w:rPr>
        <w:t xml:space="preserve">Parciales: </w:t>
      </w:r>
      <w:r w:rsidRPr="00F13011">
        <w:rPr>
          <w:rFonts w:ascii="Times New Roman" w:hAnsi="Times New Roman"/>
          <w:sz w:val="24"/>
          <w:szCs w:val="24"/>
        </w:rPr>
        <w:t xml:space="preserve">De carácter individual, presencial y escrito. Se aprueban con una calificación de 4 o superior a cuatro. (Con opción a </w:t>
      </w:r>
      <w:proofErr w:type="spellStart"/>
      <w:r w:rsidRPr="00F13011">
        <w:rPr>
          <w:rFonts w:ascii="Times New Roman" w:hAnsi="Times New Roman"/>
          <w:sz w:val="24"/>
          <w:szCs w:val="24"/>
        </w:rPr>
        <w:t>recuperatorio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 a fin de año, previo al turno de exámenes del período noviembre-diciembre)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Se acuerda una modalidad de autoevaluación que le permita a los/las 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 xml:space="preserve">Se diseña una propuesta de </w:t>
      </w:r>
      <w:proofErr w:type="spellStart"/>
      <w:r w:rsidRPr="00F13011">
        <w:rPr>
          <w:rFonts w:ascii="Times New Roman" w:hAnsi="Times New Roman"/>
          <w:sz w:val="24"/>
          <w:szCs w:val="24"/>
        </w:rPr>
        <w:t>co</w:t>
      </w:r>
      <w:proofErr w:type="spellEnd"/>
      <w:r w:rsidRPr="00F13011">
        <w:rPr>
          <w:rFonts w:ascii="Times New Roman" w:hAnsi="Times New Roman"/>
          <w:sz w:val="24"/>
          <w:szCs w:val="24"/>
        </w:rPr>
        <w:t xml:space="preserve">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bCs/>
          <w:color w:val="000000"/>
          <w:sz w:val="24"/>
          <w:szCs w:val="24"/>
        </w:rPr>
        <w:t xml:space="preserve">Condiciones para la aprobación de la cursada: 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Se presentará un informe de cada uno de los cuatrimestres, cuya calificación será producto de las evaluaciones parciales y de los trabajos prácticos. En el caso que en cada cuatrimestre la calificación del informe fuese de 4(cuatro) o más puntos, se considera aprobada la cursada.</w:t>
      </w:r>
    </w:p>
    <w:p w:rsidR="006C686F" w:rsidRPr="00F13011" w:rsidRDefault="006C686F" w:rsidP="006C6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bCs/>
          <w:color w:val="000000"/>
          <w:sz w:val="24"/>
          <w:szCs w:val="24"/>
        </w:rPr>
        <w:t xml:space="preserve">Condiciones para la acreditación de la materia: </w:t>
      </w:r>
      <w:r w:rsidRPr="00F13011">
        <w:rPr>
          <w:rFonts w:ascii="Times New Roman" w:hAnsi="Times New Roman"/>
          <w:bCs/>
          <w:color w:val="000000"/>
          <w:sz w:val="24"/>
          <w:szCs w:val="24"/>
        </w:rPr>
        <w:t>quienes posean 7 o más en cada informe, y la asistencia correspondiente, podrán tener aprobado el espacio curricular sin rendir final. Caso contrario, se acredita en instancia final.</w:t>
      </w:r>
    </w:p>
    <w:p w:rsidR="006C686F" w:rsidRPr="00F13011" w:rsidRDefault="006C686F" w:rsidP="006C686F">
      <w:pPr>
        <w:spacing w:after="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3011">
        <w:rPr>
          <w:rFonts w:ascii="Times New Roman" w:hAnsi="Times New Roman"/>
          <w:b/>
          <w:bCs/>
          <w:color w:val="000000"/>
          <w:sz w:val="24"/>
          <w:szCs w:val="24"/>
        </w:rPr>
        <w:t>Condiciones para la instancia de libre: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El régimen de alumno/a libre se orienta según las disposiciones de la resolución 1434/04.</w:t>
      </w:r>
    </w:p>
    <w:p w:rsidR="006C686F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>Se asignará a cada estudiante una propuesta para elaborar, que será desarrollada en el momento del examen final.</w:t>
      </w:r>
    </w:p>
    <w:p w:rsidR="00021415" w:rsidRPr="00F13011" w:rsidRDefault="006C686F" w:rsidP="006C686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13011">
        <w:rPr>
          <w:rFonts w:ascii="Times New Roman" w:hAnsi="Times New Roman"/>
          <w:sz w:val="24"/>
          <w:szCs w:val="24"/>
        </w:rPr>
        <w:t xml:space="preserve">La instancia libre implica rendir un examen escrito, que si es aprobado, pasará a la instancia oral de defensa del trabajo previamente solicitado y preguntas de todos los textos de la cátedra. </w:t>
      </w:r>
    </w:p>
    <w:p w:rsidR="00021415" w:rsidRPr="00F13011" w:rsidRDefault="00021415" w:rsidP="00021415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</w:pPr>
      <w:r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>-SALIDAS EDUCATIVAS Y PROYECTOS INTRA CÁTEDRA</w:t>
      </w:r>
      <w:r w:rsidR="006C686F" w:rsidRPr="00F13011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val="es-MX"/>
        </w:rPr>
        <w:t xml:space="preserve">- no se planifican </w:t>
      </w:r>
    </w:p>
    <w:p w:rsidR="005C1369" w:rsidRDefault="005C1369" w:rsidP="00021415">
      <w:pPr>
        <w:spacing w:after="0" w:line="360" w:lineRule="auto"/>
        <w:rPr>
          <w:rFonts w:ascii="Times New Roman" w:eastAsiaTheme="minorEastAsia" w:hAnsi="Times New Roman"/>
          <w:bCs/>
          <w:color w:val="000000" w:themeColor="text1"/>
          <w:kern w:val="24"/>
          <w:lang w:val="es-MX"/>
        </w:rPr>
      </w:pPr>
    </w:p>
    <w:p w:rsidR="00021415" w:rsidRPr="00021415" w:rsidRDefault="00021415" w:rsidP="00021415">
      <w:pPr>
        <w:spacing w:after="0" w:line="360" w:lineRule="auto"/>
        <w:rPr>
          <w:rFonts w:ascii="Times New Roman" w:eastAsia="Times New Roman" w:hAnsi="Times New Roman"/>
          <w:lang w:val="es-MX"/>
        </w:rPr>
      </w:pPr>
    </w:p>
    <w:p w:rsidR="000E0BDF" w:rsidRPr="00021415" w:rsidRDefault="000E0BDF" w:rsidP="00B01DEE">
      <w:pPr>
        <w:spacing w:line="360" w:lineRule="auto"/>
        <w:rPr>
          <w:rFonts w:ascii="Times New Roman" w:hAnsi="Times New Roman"/>
          <w:lang w:val="es-MX"/>
        </w:rPr>
      </w:pPr>
    </w:p>
    <w:sectPr w:rsidR="000E0BDF" w:rsidRPr="00021415" w:rsidSect="0010466F"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A8" w:rsidRDefault="000B11A8" w:rsidP="0049462A">
      <w:pPr>
        <w:spacing w:after="0" w:line="240" w:lineRule="auto"/>
      </w:pPr>
      <w:r>
        <w:separator/>
      </w:r>
    </w:p>
  </w:endnote>
  <w:endnote w:type="continuationSeparator" w:id="0">
    <w:p w:rsidR="000B11A8" w:rsidRDefault="000B11A8" w:rsidP="0049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262"/>
      <w:docPartObj>
        <w:docPartGallery w:val="Page Numbers (Bottom of Page)"/>
        <w:docPartUnique/>
      </w:docPartObj>
    </w:sdtPr>
    <w:sdtContent>
      <w:p w:rsidR="00566B6F" w:rsidRDefault="00566B6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0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6B6F" w:rsidRDefault="00566B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A8" w:rsidRDefault="000B11A8" w:rsidP="0049462A">
      <w:pPr>
        <w:spacing w:after="0" w:line="240" w:lineRule="auto"/>
      </w:pPr>
      <w:r>
        <w:separator/>
      </w:r>
    </w:p>
  </w:footnote>
  <w:footnote w:type="continuationSeparator" w:id="0">
    <w:p w:rsidR="000B11A8" w:rsidRDefault="000B11A8" w:rsidP="0049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DA7"/>
    <w:multiLevelType w:val="hybridMultilevel"/>
    <w:tmpl w:val="88C46886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EEE"/>
    <w:multiLevelType w:val="hybridMultilevel"/>
    <w:tmpl w:val="9F261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40E"/>
    <w:multiLevelType w:val="hybridMultilevel"/>
    <w:tmpl w:val="4B6E3106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FC77140"/>
    <w:multiLevelType w:val="hybridMultilevel"/>
    <w:tmpl w:val="AFBC409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442E5"/>
    <w:multiLevelType w:val="hybridMultilevel"/>
    <w:tmpl w:val="2C04F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941"/>
    <w:multiLevelType w:val="hybridMultilevel"/>
    <w:tmpl w:val="3B5484C0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0531"/>
    <w:multiLevelType w:val="multilevel"/>
    <w:tmpl w:val="98E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7223"/>
    <w:multiLevelType w:val="hybridMultilevel"/>
    <w:tmpl w:val="05E200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238F4"/>
    <w:multiLevelType w:val="hybridMultilevel"/>
    <w:tmpl w:val="22BAAB08"/>
    <w:lvl w:ilvl="0" w:tplc="20A25FD0">
      <w:start w:val="2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D9228E"/>
    <w:multiLevelType w:val="hybridMultilevel"/>
    <w:tmpl w:val="A9D0FF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8F8"/>
    <w:multiLevelType w:val="hybridMultilevel"/>
    <w:tmpl w:val="CA42BA22"/>
    <w:lvl w:ilvl="0" w:tplc="9036F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12724"/>
    <w:multiLevelType w:val="hybridMultilevel"/>
    <w:tmpl w:val="0888CA4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4195EFE"/>
    <w:multiLevelType w:val="hybridMultilevel"/>
    <w:tmpl w:val="FBBC10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501B1"/>
    <w:multiLevelType w:val="hybridMultilevel"/>
    <w:tmpl w:val="0D54BD98"/>
    <w:lvl w:ilvl="0" w:tplc="2A36BEA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0E3F"/>
    <w:multiLevelType w:val="hybridMultilevel"/>
    <w:tmpl w:val="53EC071C"/>
    <w:lvl w:ilvl="0" w:tplc="0C0A0001">
      <w:start w:val="1"/>
      <w:numFmt w:val="bullet"/>
      <w:lvlText w:val=""/>
      <w:lvlJc w:val="left"/>
      <w:pPr>
        <w:ind w:left="-67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-1088"/>
        </w:tabs>
        <w:ind w:left="-10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-368"/>
        </w:tabs>
        <w:ind w:left="-3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2"/>
        </w:tabs>
        <w:ind w:left="352" w:hanging="360"/>
      </w:pPr>
    </w:lvl>
    <w:lvl w:ilvl="4" w:tplc="0C0A0003">
      <w:start w:val="1"/>
      <w:numFmt w:val="decimal"/>
      <w:lvlText w:val="%5."/>
      <w:lvlJc w:val="left"/>
      <w:pPr>
        <w:tabs>
          <w:tab w:val="num" w:pos="1072"/>
        </w:tabs>
        <w:ind w:left="1072" w:hanging="360"/>
      </w:pPr>
    </w:lvl>
    <w:lvl w:ilvl="5" w:tplc="0C0A0005">
      <w:start w:val="1"/>
      <w:numFmt w:val="decimal"/>
      <w:lvlText w:val="%6."/>
      <w:lvlJc w:val="left"/>
      <w:pPr>
        <w:tabs>
          <w:tab w:val="num" w:pos="1792"/>
        </w:tabs>
        <w:ind w:left="1792" w:hanging="360"/>
      </w:pPr>
    </w:lvl>
    <w:lvl w:ilvl="6" w:tplc="0C0A0001">
      <w:start w:val="1"/>
      <w:numFmt w:val="decimal"/>
      <w:lvlText w:val="%7."/>
      <w:lvlJc w:val="left"/>
      <w:pPr>
        <w:tabs>
          <w:tab w:val="num" w:pos="2512"/>
        </w:tabs>
        <w:ind w:left="2512" w:hanging="360"/>
      </w:pPr>
    </w:lvl>
    <w:lvl w:ilvl="7" w:tplc="0C0A0003">
      <w:start w:val="1"/>
      <w:numFmt w:val="decimal"/>
      <w:lvlText w:val="%8."/>
      <w:lvlJc w:val="left"/>
      <w:pPr>
        <w:tabs>
          <w:tab w:val="num" w:pos="3232"/>
        </w:tabs>
        <w:ind w:left="3232" w:hanging="360"/>
      </w:pPr>
    </w:lvl>
    <w:lvl w:ilvl="8" w:tplc="0C0A0005">
      <w:start w:val="1"/>
      <w:numFmt w:val="decimal"/>
      <w:lvlText w:val="%9."/>
      <w:lvlJc w:val="left"/>
      <w:pPr>
        <w:tabs>
          <w:tab w:val="num" w:pos="3952"/>
        </w:tabs>
        <w:ind w:left="3952" w:hanging="360"/>
      </w:pPr>
    </w:lvl>
  </w:abstractNum>
  <w:abstractNum w:abstractNumId="15" w15:restartNumberingAfterBreak="0">
    <w:nsid w:val="41761085"/>
    <w:multiLevelType w:val="hybridMultilevel"/>
    <w:tmpl w:val="8138AC2A"/>
    <w:lvl w:ilvl="0" w:tplc="F8BE3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5F05"/>
    <w:multiLevelType w:val="hybridMultilevel"/>
    <w:tmpl w:val="2244152E"/>
    <w:lvl w:ilvl="0" w:tplc="A04049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0259C"/>
    <w:multiLevelType w:val="hybridMultilevel"/>
    <w:tmpl w:val="39A850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5B267B6"/>
    <w:multiLevelType w:val="hybridMultilevel"/>
    <w:tmpl w:val="C31A614E"/>
    <w:lvl w:ilvl="0" w:tplc="D94CF4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8624E"/>
    <w:multiLevelType w:val="hybridMultilevel"/>
    <w:tmpl w:val="18D2B6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C185199"/>
    <w:multiLevelType w:val="hybridMultilevel"/>
    <w:tmpl w:val="291A179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51EB8"/>
    <w:multiLevelType w:val="hybridMultilevel"/>
    <w:tmpl w:val="8E6E984C"/>
    <w:lvl w:ilvl="0" w:tplc="B7A235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32355"/>
    <w:multiLevelType w:val="hybridMultilevel"/>
    <w:tmpl w:val="A5DEC5B4"/>
    <w:lvl w:ilvl="0" w:tplc="8BFE22E2">
      <w:start w:val="1"/>
      <w:numFmt w:val="upperLetter"/>
      <w:lvlText w:val="%1-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1A64"/>
    <w:multiLevelType w:val="hybridMultilevel"/>
    <w:tmpl w:val="225A49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D2772"/>
    <w:multiLevelType w:val="hybridMultilevel"/>
    <w:tmpl w:val="E93E791C"/>
    <w:lvl w:ilvl="0" w:tplc="660AE5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E7DD9"/>
    <w:multiLevelType w:val="hybridMultilevel"/>
    <w:tmpl w:val="9C9A4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B65DD"/>
    <w:multiLevelType w:val="hybridMultilevel"/>
    <w:tmpl w:val="88001068"/>
    <w:lvl w:ilvl="0" w:tplc="43989C0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4F4907"/>
    <w:multiLevelType w:val="hybridMultilevel"/>
    <w:tmpl w:val="DA9AE7CE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A1F550E"/>
    <w:multiLevelType w:val="hybridMultilevel"/>
    <w:tmpl w:val="F902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13B79"/>
    <w:multiLevelType w:val="hybridMultilevel"/>
    <w:tmpl w:val="CA5A726A"/>
    <w:lvl w:ilvl="0" w:tplc="7C427E1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B1529DD"/>
    <w:multiLevelType w:val="hybridMultilevel"/>
    <w:tmpl w:val="80C458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D4A31"/>
    <w:multiLevelType w:val="hybridMultilevel"/>
    <w:tmpl w:val="FC422D6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85B90"/>
    <w:multiLevelType w:val="hybridMultilevel"/>
    <w:tmpl w:val="F96AE19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32"/>
  </w:num>
  <w:num w:numId="9">
    <w:abstractNumId w:val="12"/>
  </w:num>
  <w:num w:numId="10">
    <w:abstractNumId w:val="3"/>
  </w:num>
  <w:num w:numId="11">
    <w:abstractNumId w:val="4"/>
  </w:num>
  <w:num w:numId="12">
    <w:abstractNumId w:val="15"/>
  </w:num>
  <w:num w:numId="13">
    <w:abstractNumId w:val="25"/>
  </w:num>
  <w:num w:numId="14">
    <w:abstractNumId w:val="5"/>
  </w:num>
  <w:num w:numId="15">
    <w:abstractNumId w:val="0"/>
  </w:num>
  <w:num w:numId="16">
    <w:abstractNumId w:val="16"/>
  </w:num>
  <w:num w:numId="17">
    <w:abstractNumId w:val="27"/>
  </w:num>
  <w:num w:numId="18">
    <w:abstractNumId w:val="17"/>
  </w:num>
  <w:num w:numId="19">
    <w:abstractNumId w:val="28"/>
  </w:num>
  <w:num w:numId="20">
    <w:abstractNumId w:val="1"/>
  </w:num>
  <w:num w:numId="21">
    <w:abstractNumId w:val="2"/>
  </w:num>
  <w:num w:numId="22">
    <w:abstractNumId w:val="19"/>
  </w:num>
  <w:num w:numId="23">
    <w:abstractNumId w:val="11"/>
  </w:num>
  <w:num w:numId="24">
    <w:abstractNumId w:val="23"/>
  </w:num>
  <w:num w:numId="25">
    <w:abstractNumId w:val="7"/>
  </w:num>
  <w:num w:numId="26">
    <w:abstractNumId w:val="6"/>
  </w:num>
  <w:num w:numId="27">
    <w:abstractNumId w:val="22"/>
  </w:num>
  <w:num w:numId="28">
    <w:abstractNumId w:val="29"/>
  </w:num>
  <w:num w:numId="29">
    <w:abstractNumId w:val="18"/>
  </w:num>
  <w:num w:numId="30">
    <w:abstractNumId w:val="10"/>
  </w:num>
  <w:num w:numId="31">
    <w:abstractNumId w:val="8"/>
  </w:num>
  <w:num w:numId="32">
    <w:abstractNumId w:val="24"/>
  </w:num>
  <w:num w:numId="33">
    <w:abstractNumId w:val="21"/>
  </w:num>
  <w:num w:numId="34">
    <w:abstractNumId w:val="1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36"/>
    <w:rsid w:val="00002A8C"/>
    <w:rsid w:val="0001432F"/>
    <w:rsid w:val="00021415"/>
    <w:rsid w:val="000266AC"/>
    <w:rsid w:val="0003650E"/>
    <w:rsid w:val="0004183C"/>
    <w:rsid w:val="00082E91"/>
    <w:rsid w:val="00083DA2"/>
    <w:rsid w:val="00084925"/>
    <w:rsid w:val="000A00F7"/>
    <w:rsid w:val="000B11A8"/>
    <w:rsid w:val="000B4B23"/>
    <w:rsid w:val="000B659E"/>
    <w:rsid w:val="000B6E97"/>
    <w:rsid w:val="000C1A39"/>
    <w:rsid w:val="000E0BDF"/>
    <w:rsid w:val="00102873"/>
    <w:rsid w:val="00104015"/>
    <w:rsid w:val="0010466F"/>
    <w:rsid w:val="001132E1"/>
    <w:rsid w:val="0012449E"/>
    <w:rsid w:val="00131849"/>
    <w:rsid w:val="001515F5"/>
    <w:rsid w:val="0017175C"/>
    <w:rsid w:val="00197F3C"/>
    <w:rsid w:val="001B6BB2"/>
    <w:rsid w:val="001C04DD"/>
    <w:rsid w:val="001C30CE"/>
    <w:rsid w:val="001C56C3"/>
    <w:rsid w:val="001F3303"/>
    <w:rsid w:val="001F52D8"/>
    <w:rsid w:val="00202085"/>
    <w:rsid w:val="00211B6A"/>
    <w:rsid w:val="002254E8"/>
    <w:rsid w:val="0023608C"/>
    <w:rsid w:val="00236DE1"/>
    <w:rsid w:val="00246DC2"/>
    <w:rsid w:val="0025117E"/>
    <w:rsid w:val="0025200E"/>
    <w:rsid w:val="00262D58"/>
    <w:rsid w:val="002676C3"/>
    <w:rsid w:val="00267FDE"/>
    <w:rsid w:val="002749A5"/>
    <w:rsid w:val="00285995"/>
    <w:rsid w:val="0029451F"/>
    <w:rsid w:val="00295A26"/>
    <w:rsid w:val="00297424"/>
    <w:rsid w:val="00297A6B"/>
    <w:rsid w:val="002A6A41"/>
    <w:rsid w:val="002D1788"/>
    <w:rsid w:val="002D674B"/>
    <w:rsid w:val="002E23B9"/>
    <w:rsid w:val="002E5438"/>
    <w:rsid w:val="002F2C84"/>
    <w:rsid w:val="002F3347"/>
    <w:rsid w:val="00300D50"/>
    <w:rsid w:val="00315E1C"/>
    <w:rsid w:val="00315F7E"/>
    <w:rsid w:val="00352F75"/>
    <w:rsid w:val="00370D06"/>
    <w:rsid w:val="00373BDF"/>
    <w:rsid w:val="00375E6F"/>
    <w:rsid w:val="0037799D"/>
    <w:rsid w:val="003804E8"/>
    <w:rsid w:val="00384B20"/>
    <w:rsid w:val="00390CA8"/>
    <w:rsid w:val="003A1D6D"/>
    <w:rsid w:val="003B5377"/>
    <w:rsid w:val="003D1396"/>
    <w:rsid w:val="003E5D4B"/>
    <w:rsid w:val="003F4F58"/>
    <w:rsid w:val="003F533D"/>
    <w:rsid w:val="00411C68"/>
    <w:rsid w:val="00411ECC"/>
    <w:rsid w:val="0042781B"/>
    <w:rsid w:val="004356E2"/>
    <w:rsid w:val="0045149D"/>
    <w:rsid w:val="00452476"/>
    <w:rsid w:val="00452A39"/>
    <w:rsid w:val="00454333"/>
    <w:rsid w:val="00463427"/>
    <w:rsid w:val="004810C9"/>
    <w:rsid w:val="004811AE"/>
    <w:rsid w:val="00482A09"/>
    <w:rsid w:val="00482A98"/>
    <w:rsid w:val="004837F6"/>
    <w:rsid w:val="0049259C"/>
    <w:rsid w:val="0049462A"/>
    <w:rsid w:val="004A05C6"/>
    <w:rsid w:val="004A1022"/>
    <w:rsid w:val="004A1F7C"/>
    <w:rsid w:val="004A6151"/>
    <w:rsid w:val="004A6CE7"/>
    <w:rsid w:val="004B3541"/>
    <w:rsid w:val="004B6E39"/>
    <w:rsid w:val="004D39D8"/>
    <w:rsid w:val="004D4921"/>
    <w:rsid w:val="004D72E6"/>
    <w:rsid w:val="004E7306"/>
    <w:rsid w:val="005007D1"/>
    <w:rsid w:val="005015B3"/>
    <w:rsid w:val="00520868"/>
    <w:rsid w:val="00525DB6"/>
    <w:rsid w:val="00530BC2"/>
    <w:rsid w:val="005312FD"/>
    <w:rsid w:val="00536432"/>
    <w:rsid w:val="00553F7D"/>
    <w:rsid w:val="0055426F"/>
    <w:rsid w:val="00565A44"/>
    <w:rsid w:val="00566514"/>
    <w:rsid w:val="00566B6F"/>
    <w:rsid w:val="005734A7"/>
    <w:rsid w:val="00582E66"/>
    <w:rsid w:val="00586282"/>
    <w:rsid w:val="005A4208"/>
    <w:rsid w:val="005A6AD5"/>
    <w:rsid w:val="005B5162"/>
    <w:rsid w:val="005B7457"/>
    <w:rsid w:val="005C1369"/>
    <w:rsid w:val="005D0E5C"/>
    <w:rsid w:val="00600806"/>
    <w:rsid w:val="00602098"/>
    <w:rsid w:val="00602856"/>
    <w:rsid w:val="006074BD"/>
    <w:rsid w:val="006213DA"/>
    <w:rsid w:val="006374E7"/>
    <w:rsid w:val="00647CF5"/>
    <w:rsid w:val="00677C91"/>
    <w:rsid w:val="006810B4"/>
    <w:rsid w:val="00685BED"/>
    <w:rsid w:val="00687654"/>
    <w:rsid w:val="006B76E5"/>
    <w:rsid w:val="006C67BC"/>
    <w:rsid w:val="006C686F"/>
    <w:rsid w:val="006C7A0E"/>
    <w:rsid w:val="006D15A2"/>
    <w:rsid w:val="006E11CC"/>
    <w:rsid w:val="006E1C54"/>
    <w:rsid w:val="006E426A"/>
    <w:rsid w:val="006E4711"/>
    <w:rsid w:val="00702FA5"/>
    <w:rsid w:val="00711490"/>
    <w:rsid w:val="00711FF3"/>
    <w:rsid w:val="0073609A"/>
    <w:rsid w:val="00741890"/>
    <w:rsid w:val="00746ECE"/>
    <w:rsid w:val="00747BBA"/>
    <w:rsid w:val="0075003C"/>
    <w:rsid w:val="00751D01"/>
    <w:rsid w:val="00753060"/>
    <w:rsid w:val="007536D9"/>
    <w:rsid w:val="00765821"/>
    <w:rsid w:val="00771C26"/>
    <w:rsid w:val="00796E12"/>
    <w:rsid w:val="007A2DB5"/>
    <w:rsid w:val="007A5638"/>
    <w:rsid w:val="007B1E4E"/>
    <w:rsid w:val="007C093B"/>
    <w:rsid w:val="007C5153"/>
    <w:rsid w:val="007E7881"/>
    <w:rsid w:val="007F3FB6"/>
    <w:rsid w:val="00832032"/>
    <w:rsid w:val="00836AB6"/>
    <w:rsid w:val="00837155"/>
    <w:rsid w:val="0084263B"/>
    <w:rsid w:val="00853773"/>
    <w:rsid w:val="00861866"/>
    <w:rsid w:val="00872B10"/>
    <w:rsid w:val="008738AF"/>
    <w:rsid w:val="0087513E"/>
    <w:rsid w:val="008A0B58"/>
    <w:rsid w:val="008A2811"/>
    <w:rsid w:val="008B110D"/>
    <w:rsid w:val="008C1C3D"/>
    <w:rsid w:val="008D2753"/>
    <w:rsid w:val="008D6D06"/>
    <w:rsid w:val="008F04B6"/>
    <w:rsid w:val="008F4B16"/>
    <w:rsid w:val="008F584F"/>
    <w:rsid w:val="00902536"/>
    <w:rsid w:val="00903873"/>
    <w:rsid w:val="00911F2D"/>
    <w:rsid w:val="00915BF5"/>
    <w:rsid w:val="00950F56"/>
    <w:rsid w:val="00966786"/>
    <w:rsid w:val="009767FF"/>
    <w:rsid w:val="00992D98"/>
    <w:rsid w:val="00996EBB"/>
    <w:rsid w:val="009A411E"/>
    <w:rsid w:val="009A56EC"/>
    <w:rsid w:val="009B2D84"/>
    <w:rsid w:val="009B595C"/>
    <w:rsid w:val="009B5DC9"/>
    <w:rsid w:val="009C4A7E"/>
    <w:rsid w:val="009C6B12"/>
    <w:rsid w:val="009D15D3"/>
    <w:rsid w:val="009D17E7"/>
    <w:rsid w:val="00A0303B"/>
    <w:rsid w:val="00A21DDA"/>
    <w:rsid w:val="00A22690"/>
    <w:rsid w:val="00A24AC2"/>
    <w:rsid w:val="00A3165C"/>
    <w:rsid w:val="00A33F6A"/>
    <w:rsid w:val="00A40825"/>
    <w:rsid w:val="00A40930"/>
    <w:rsid w:val="00A5612F"/>
    <w:rsid w:val="00A61FD0"/>
    <w:rsid w:val="00A74F08"/>
    <w:rsid w:val="00A76EFA"/>
    <w:rsid w:val="00A9067C"/>
    <w:rsid w:val="00A93F37"/>
    <w:rsid w:val="00A9437F"/>
    <w:rsid w:val="00AA3016"/>
    <w:rsid w:val="00AB5A81"/>
    <w:rsid w:val="00AB6356"/>
    <w:rsid w:val="00AD3067"/>
    <w:rsid w:val="00AE0641"/>
    <w:rsid w:val="00AF097B"/>
    <w:rsid w:val="00AF2597"/>
    <w:rsid w:val="00AF2CE7"/>
    <w:rsid w:val="00B01DEE"/>
    <w:rsid w:val="00B2628F"/>
    <w:rsid w:val="00B3054A"/>
    <w:rsid w:val="00B31070"/>
    <w:rsid w:val="00B52A33"/>
    <w:rsid w:val="00B71080"/>
    <w:rsid w:val="00B7645D"/>
    <w:rsid w:val="00B77B12"/>
    <w:rsid w:val="00B82395"/>
    <w:rsid w:val="00B929E7"/>
    <w:rsid w:val="00B93409"/>
    <w:rsid w:val="00B95BEC"/>
    <w:rsid w:val="00BA3D60"/>
    <w:rsid w:val="00BB20B9"/>
    <w:rsid w:val="00BB2765"/>
    <w:rsid w:val="00BB5FEF"/>
    <w:rsid w:val="00BE088C"/>
    <w:rsid w:val="00BE7F0E"/>
    <w:rsid w:val="00BF3018"/>
    <w:rsid w:val="00C00769"/>
    <w:rsid w:val="00C31F37"/>
    <w:rsid w:val="00C374C8"/>
    <w:rsid w:val="00C377C2"/>
    <w:rsid w:val="00C411E1"/>
    <w:rsid w:val="00C54430"/>
    <w:rsid w:val="00C575D9"/>
    <w:rsid w:val="00C7243E"/>
    <w:rsid w:val="00C77578"/>
    <w:rsid w:val="00C86728"/>
    <w:rsid w:val="00C93866"/>
    <w:rsid w:val="00C95A52"/>
    <w:rsid w:val="00CA3A40"/>
    <w:rsid w:val="00CA59B8"/>
    <w:rsid w:val="00CE3E6A"/>
    <w:rsid w:val="00CE48E4"/>
    <w:rsid w:val="00D0288B"/>
    <w:rsid w:val="00D10021"/>
    <w:rsid w:val="00D25E5D"/>
    <w:rsid w:val="00D319E7"/>
    <w:rsid w:val="00D334E0"/>
    <w:rsid w:val="00D36B39"/>
    <w:rsid w:val="00D4070D"/>
    <w:rsid w:val="00D82685"/>
    <w:rsid w:val="00D829DF"/>
    <w:rsid w:val="00D82C26"/>
    <w:rsid w:val="00D83F28"/>
    <w:rsid w:val="00D86C7A"/>
    <w:rsid w:val="00D941B8"/>
    <w:rsid w:val="00D946A0"/>
    <w:rsid w:val="00DA067E"/>
    <w:rsid w:val="00DC495D"/>
    <w:rsid w:val="00DC6EF5"/>
    <w:rsid w:val="00DD16B0"/>
    <w:rsid w:val="00DF12FE"/>
    <w:rsid w:val="00DF356C"/>
    <w:rsid w:val="00E00CEF"/>
    <w:rsid w:val="00E06324"/>
    <w:rsid w:val="00E15E85"/>
    <w:rsid w:val="00E31A60"/>
    <w:rsid w:val="00E34EC9"/>
    <w:rsid w:val="00E35CBC"/>
    <w:rsid w:val="00E40F93"/>
    <w:rsid w:val="00E429D3"/>
    <w:rsid w:val="00E7332C"/>
    <w:rsid w:val="00E75D00"/>
    <w:rsid w:val="00E82DE9"/>
    <w:rsid w:val="00E96631"/>
    <w:rsid w:val="00EA5735"/>
    <w:rsid w:val="00EB6BAB"/>
    <w:rsid w:val="00EB7E30"/>
    <w:rsid w:val="00EC1396"/>
    <w:rsid w:val="00ED3709"/>
    <w:rsid w:val="00ED4021"/>
    <w:rsid w:val="00EE1315"/>
    <w:rsid w:val="00EE52D3"/>
    <w:rsid w:val="00F07EDC"/>
    <w:rsid w:val="00F10011"/>
    <w:rsid w:val="00F13011"/>
    <w:rsid w:val="00F13B26"/>
    <w:rsid w:val="00F3246D"/>
    <w:rsid w:val="00F32692"/>
    <w:rsid w:val="00F37559"/>
    <w:rsid w:val="00F41C14"/>
    <w:rsid w:val="00F41DC9"/>
    <w:rsid w:val="00F47D35"/>
    <w:rsid w:val="00F55C42"/>
    <w:rsid w:val="00F56734"/>
    <w:rsid w:val="00F77D34"/>
    <w:rsid w:val="00F84B28"/>
    <w:rsid w:val="00F87593"/>
    <w:rsid w:val="00FB371D"/>
    <w:rsid w:val="00FB37ED"/>
    <w:rsid w:val="00FC144A"/>
    <w:rsid w:val="00FC1A78"/>
    <w:rsid w:val="00FE36C4"/>
    <w:rsid w:val="00FE5E48"/>
    <w:rsid w:val="00FE63A4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13DD0-B51B-4F0A-87E9-0DD28C1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3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qFormat/>
    <w:rsid w:val="00853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qFormat/>
    <w:rsid w:val="008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536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537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rsid w:val="008537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D8268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C26"/>
    <w:rPr>
      <w:i/>
      <w:iCs/>
    </w:rPr>
  </w:style>
  <w:style w:type="paragraph" w:styleId="NormalWeb">
    <w:name w:val="Normal (Web)"/>
    <w:basedOn w:val="Normal"/>
    <w:uiPriority w:val="99"/>
    <w:semiHidden/>
    <w:rsid w:val="008C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38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ulo">
    <w:name w:val="titulo"/>
    <w:basedOn w:val="Fuentedeprrafopredeter"/>
    <w:rsid w:val="00384B20"/>
  </w:style>
  <w:style w:type="character" w:customStyle="1" w:styleId="apple-converted-space">
    <w:name w:val="apple-converted-space"/>
    <w:basedOn w:val="Fuentedeprrafopredeter"/>
    <w:rsid w:val="00384B20"/>
  </w:style>
  <w:style w:type="paragraph" w:styleId="Textonotapie">
    <w:name w:val="footnote text"/>
    <w:basedOn w:val="Normal"/>
    <w:link w:val="TextonotapieCar"/>
    <w:uiPriority w:val="99"/>
    <w:semiHidden/>
    <w:unhideWhenUsed/>
    <w:rsid w:val="00F77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D3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34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6B6F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dwith@abc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092C9-D044-441E-84AD-8E31EC8B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1495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Argentina</Company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Cuenta Microsoft</cp:lastModifiedBy>
  <cp:revision>16</cp:revision>
  <cp:lastPrinted>2020-04-09T03:20:00Z</cp:lastPrinted>
  <dcterms:created xsi:type="dcterms:W3CDTF">2024-03-13T13:57:00Z</dcterms:created>
  <dcterms:modified xsi:type="dcterms:W3CDTF">2024-04-22T13:06:00Z</dcterms:modified>
</cp:coreProperties>
</file>